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 w:hAnsi="仿宋" w:eastAsia="仿宋"/>
          <w:sz w:val="28"/>
          <w:szCs w:val="28"/>
        </w:rPr>
      </w:pPr>
      <w:r>
        <w:rPr>
          <w:rFonts w:hint="eastAsia" w:ascii="仿宋" w:hAnsi="仿宋" w:eastAsia="仿宋"/>
          <w:sz w:val="28"/>
          <w:szCs w:val="28"/>
        </w:rPr>
        <w:t>附件1：</w:t>
      </w:r>
    </w:p>
    <w:p>
      <w:pPr>
        <w:spacing w:line="360" w:lineRule="auto"/>
        <w:jc w:val="center"/>
        <w:outlineLvl w:val="0"/>
        <w:rPr>
          <w:rFonts w:ascii="方正小标宋_GBK" w:hAnsi="宋体" w:eastAsia="方正小标宋_GBK" w:cs="宋体"/>
          <w:b/>
          <w:bCs/>
          <w:sz w:val="32"/>
          <w:szCs w:val="32"/>
        </w:rPr>
      </w:pPr>
      <w:r>
        <w:rPr>
          <w:rFonts w:hint="eastAsia" w:ascii="方正小标宋_GBK" w:hAnsi="宋体" w:eastAsia="方正小标宋_GBK" w:cs="宋体"/>
          <w:b/>
          <w:bCs/>
          <w:sz w:val="32"/>
          <w:szCs w:val="32"/>
        </w:rPr>
        <w:t>广东碧桂园职业学院</w:t>
      </w:r>
      <w:r>
        <w:rPr>
          <w:rFonts w:hint="eastAsia" w:ascii="方正小标宋_GBK" w:hAnsi="Calibri" w:eastAsia="方正小标宋_GBK" w:cs="Times New Roman"/>
          <w:b/>
          <w:sz w:val="32"/>
          <w:szCs w:val="32"/>
        </w:rPr>
        <w:t>采购项目需求书</w:t>
      </w:r>
    </w:p>
    <w:p>
      <w:pPr>
        <w:pStyle w:val="14"/>
        <w:framePr w:wrap="auto" w:vAnchor="margin" w:hAnchor="text" w:yAlign="inline"/>
        <w:adjustRightInd w:val="0"/>
        <w:snapToGrid w:val="0"/>
        <w:spacing w:line="560" w:lineRule="exact"/>
        <w:ind w:firstLine="0"/>
        <w:rPr>
          <w:rFonts w:hint="default" w:ascii="黑体" w:hAnsi="黑体" w:eastAsia="黑体" w:cs="宋体"/>
          <w:bCs/>
          <w:sz w:val="28"/>
          <w:szCs w:val="28"/>
          <w:lang w:val="zh-TW" w:eastAsia="zh-TW"/>
        </w:rPr>
      </w:pPr>
      <w:r>
        <w:rPr>
          <w:rFonts w:ascii="黑体" w:hAnsi="黑体" w:eastAsia="黑体" w:cs="宋体"/>
          <w:b/>
          <w:bCs/>
          <w:sz w:val="24"/>
          <w:szCs w:val="24"/>
          <w:lang w:val="zh-TW" w:eastAsia="zh-TW"/>
        </w:rPr>
        <w:t xml:space="preserve">   </w:t>
      </w:r>
      <w:r>
        <w:rPr>
          <w:rFonts w:ascii="黑体" w:hAnsi="黑体" w:eastAsia="黑体" w:cs="宋体"/>
          <w:bCs/>
          <w:sz w:val="28"/>
          <w:szCs w:val="28"/>
          <w:lang w:val="zh-TW" w:eastAsia="zh-TW"/>
        </w:rPr>
        <w:t xml:space="preserve"> 一、采购范围</w:t>
      </w:r>
    </w:p>
    <w:p>
      <w:pPr>
        <w:pStyle w:val="14"/>
        <w:framePr w:wrap="auto" w:vAnchor="margin" w:hAnchor="text" w:yAlign="inline"/>
        <w:adjustRightInd w:val="0"/>
        <w:snapToGrid w:val="0"/>
        <w:spacing w:line="560" w:lineRule="exact"/>
        <w:ind w:firstLine="0"/>
        <w:rPr>
          <w:rFonts w:hint="default" w:ascii="仿宋" w:hAnsi="仿宋" w:eastAsia="仿宋" w:cs="宋体"/>
          <w:sz w:val="28"/>
          <w:szCs w:val="28"/>
        </w:rPr>
      </w:pPr>
      <w:r>
        <w:rPr>
          <w:rFonts w:ascii="仿宋" w:hAnsi="仿宋" w:eastAsia="仿宋" w:cs="宋体"/>
          <w:sz w:val="28"/>
          <w:szCs w:val="28"/>
        </w:rPr>
        <w:t xml:space="preserve">    1.</w:t>
      </w:r>
      <w:r>
        <w:rPr>
          <w:rFonts w:ascii="仿宋" w:hAnsi="仿宋" w:eastAsia="仿宋" w:cs="宋体"/>
          <w:sz w:val="28"/>
          <w:szCs w:val="28"/>
          <w:lang w:val="zh-TW" w:eastAsia="zh-TW"/>
        </w:rPr>
        <w:t>数量清单如下</w:t>
      </w:r>
      <w:r>
        <w:rPr>
          <w:rFonts w:ascii="仿宋" w:hAnsi="仿宋" w:eastAsia="仿宋" w:cs="宋体"/>
          <w:sz w:val="28"/>
          <w:szCs w:val="28"/>
          <w:lang w:val="zh-TW"/>
        </w:rPr>
        <w:t>：</w:t>
      </w:r>
    </w:p>
    <w:tbl>
      <w:tblPr>
        <w:tblStyle w:val="7"/>
        <w:tblW w:w="76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0"/>
        <w:gridCol w:w="4526"/>
        <w:gridCol w:w="993"/>
        <w:gridCol w:w="11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bCs/>
                <w:sz w:val="28"/>
                <w:szCs w:val="28"/>
                <w:lang w:val="zh-TW" w:eastAsia="zh-TW"/>
              </w:rPr>
              <w:t>序号</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bCs/>
                <w:sz w:val="28"/>
                <w:szCs w:val="28"/>
                <w:lang w:val="zh-TW"/>
              </w:rPr>
              <w:t>物品（服务）</w:t>
            </w:r>
            <w:r>
              <w:rPr>
                <w:rFonts w:ascii="仿宋" w:hAnsi="仿宋" w:eastAsia="仿宋" w:cs="宋体"/>
                <w:bCs/>
                <w:sz w:val="28"/>
                <w:szCs w:val="28"/>
                <w:lang w:val="zh-TW" w:eastAsia="zh-TW"/>
              </w:rPr>
              <w:t>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bCs/>
                <w:sz w:val="28"/>
                <w:szCs w:val="28"/>
                <w:lang w:val="zh-TW" w:eastAsia="zh-TW"/>
              </w:rPr>
              <w:t>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bCs/>
                <w:sz w:val="28"/>
                <w:szCs w:val="28"/>
                <w:lang w:val="zh-TW" w:eastAsia="zh-TW"/>
              </w:rPr>
              <w:t>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sz w:val="28"/>
                <w:szCs w:val="28"/>
              </w:rPr>
              <w:t>1</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adjustRightInd w:val="0"/>
              <w:snapToGrid w:val="0"/>
              <w:spacing w:line="560" w:lineRule="exact"/>
              <w:jc w:val="center"/>
              <w:rPr>
                <w:rFonts w:ascii="仿宋" w:hAnsi="仿宋" w:eastAsia="仿宋" w:cs="宋体"/>
                <w:sz w:val="28"/>
                <w:szCs w:val="28"/>
                <w:lang w:val="zh-TW"/>
              </w:rPr>
            </w:pPr>
            <w:r>
              <w:rPr>
                <w:rFonts w:hint="eastAsia" w:ascii="仿宋" w:hAnsi="仿宋" w:eastAsia="仿宋" w:cs="宋体"/>
                <w:sz w:val="28"/>
                <w:szCs w:val="28"/>
                <w:lang w:val="zh-TW"/>
              </w:rPr>
              <w:t>网络安全等级保护（二级）测评服务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sz w:val="28"/>
                <w:szCs w:val="28"/>
              </w:rPr>
              <w:t>项</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framePr w:wrap="auto" w:vAnchor="margin" w:hAnchor="text" w:yAlign="inline"/>
              <w:adjustRightInd w:val="0"/>
              <w:snapToGrid w:val="0"/>
              <w:spacing w:line="560" w:lineRule="exact"/>
              <w:ind w:firstLine="0"/>
              <w:jc w:val="center"/>
              <w:rPr>
                <w:rFonts w:hint="default" w:ascii="仿宋" w:hAnsi="仿宋" w:eastAsia="仿宋" w:cs="宋体"/>
                <w:sz w:val="28"/>
                <w:szCs w:val="28"/>
              </w:rPr>
            </w:pPr>
            <w:r>
              <w:rPr>
                <w:rFonts w:ascii="仿宋" w:hAnsi="仿宋" w:eastAsia="仿宋" w:cs="宋体"/>
                <w:sz w:val="28"/>
                <w:szCs w:val="28"/>
              </w:rPr>
              <w:t>1</w:t>
            </w:r>
          </w:p>
        </w:tc>
      </w:tr>
    </w:tbl>
    <w:p>
      <w:pPr>
        <w:pStyle w:val="14"/>
        <w:framePr w:wrap="auto" w:vAnchor="margin" w:hAnchor="text" w:yAlign="inline"/>
        <w:adjustRightInd w:val="0"/>
        <w:snapToGrid w:val="0"/>
        <w:spacing w:line="560" w:lineRule="exact"/>
        <w:ind w:firstLine="0"/>
        <w:rPr>
          <w:rFonts w:hint="default" w:ascii="仿宋" w:hAnsi="仿宋" w:eastAsia="仿宋" w:cs="宋体"/>
          <w:bCs/>
          <w:sz w:val="28"/>
          <w:szCs w:val="28"/>
          <w:lang w:val="zh-TW"/>
        </w:rPr>
      </w:pPr>
    </w:p>
    <w:p>
      <w:pPr>
        <w:pStyle w:val="14"/>
        <w:framePr w:wrap="auto" w:vAnchor="margin" w:hAnchor="text" w:yAlign="inline"/>
        <w:adjustRightInd w:val="0"/>
        <w:snapToGrid w:val="0"/>
        <w:spacing w:line="560" w:lineRule="exact"/>
        <w:ind w:firstLine="551" w:firstLineChars="196"/>
        <w:rPr>
          <w:rFonts w:hint="default" w:ascii="仿宋" w:hAnsi="仿宋" w:eastAsia="仿宋" w:cs="宋体"/>
          <w:bCs/>
          <w:sz w:val="28"/>
          <w:szCs w:val="28"/>
          <w:lang w:val="zh-TW" w:eastAsia="zh-TW"/>
        </w:rPr>
      </w:pPr>
      <w:r>
        <w:rPr>
          <w:rFonts w:ascii="黑体" w:hAnsi="黑体" w:eastAsia="黑体" w:cs="宋体"/>
          <w:b/>
          <w:bCs/>
          <w:sz w:val="28"/>
          <w:szCs w:val="28"/>
          <w:lang w:val="zh-TW" w:eastAsia="zh-TW"/>
        </w:rPr>
        <w:t>二、投标供应商的资格要求</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1.具有独立承担民事责任的能力：在中华人民共和国境内注册的法人或其他组织或自然人，注册资本500万元，提供有效的营业执照（或事业法人登记证或身份证等相关证明）副本复印件。</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2.具有良好的商业信誉和健全的财务会计制度：提供近3年财务状况报告或基本开户行出具的资信证明。</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3.有依法缴纳税收和社会保障资金的良好记录：提供投标截止日前6个月内任意1个月依法缴纳税收和社会保障资金的相关材料。如依法免税或不需要缴纳社会保障资金的，提供相应证明材料。</w:t>
      </w:r>
    </w:p>
    <w:p>
      <w:pPr>
        <w:kinsoku w:val="0"/>
        <w:autoSpaceDE w:val="0"/>
        <w:autoSpaceDN w:val="0"/>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4.信用记录：供应商未被列入“信用中国”网站(www.creditchina.gov.cn)“记录失信被执行人或重大税收违法案件当事人名单或政府采购严重违法失信行为”记录名单。提供网站查询记录截图。 </w:t>
      </w:r>
    </w:p>
    <w:p>
      <w:pPr>
        <w:kinsoku w:val="0"/>
        <w:autoSpaceDE w:val="0"/>
        <w:autoSpaceDN w:val="0"/>
        <w:adjustRightInd w:val="0"/>
        <w:snapToGrid w:val="0"/>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5.</w:t>
      </w:r>
      <w:r>
        <w:rPr>
          <w:rFonts w:hint="eastAsia" w:ascii="仿宋" w:hAnsi="仿宋" w:eastAsia="仿宋" w:cs="Times New Roman"/>
          <w:sz w:val="28"/>
          <w:szCs w:val="28"/>
        </w:rPr>
        <w:t>技术服务能力：具备CCRC信息安全服务资质，具有等保测评项目的整改经验（要求提供3年内等保项目相关合同）。</w:t>
      </w:r>
    </w:p>
    <w:p>
      <w:pPr>
        <w:adjustRightInd w:val="0"/>
        <w:snapToGrid w:val="0"/>
        <w:spacing w:line="560" w:lineRule="exact"/>
        <w:ind w:firstLine="562" w:firstLineChars="200"/>
        <w:rPr>
          <w:rFonts w:ascii="仿宋" w:hAnsi="仿宋" w:eastAsia="仿宋" w:cs="Times New Roman"/>
          <w:sz w:val="28"/>
          <w:szCs w:val="28"/>
        </w:rPr>
      </w:pPr>
      <w:r>
        <w:rPr>
          <w:rFonts w:hint="eastAsia" w:ascii="黑体" w:hAnsi="黑体" w:eastAsia="黑体" w:cs="宋体"/>
          <w:b/>
          <w:bCs/>
          <w:color w:val="000000"/>
          <w:sz w:val="28"/>
          <w:szCs w:val="28"/>
          <w:u w:color="000000"/>
          <w:lang w:val="zh-TW" w:eastAsia="zh-TW"/>
        </w:rPr>
        <w:t>三、总体要求</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1.本项目最高限价为人民币</w:t>
      </w:r>
      <w:r>
        <w:rPr>
          <w:rFonts w:ascii="仿宋" w:hAnsi="仿宋" w:eastAsia="仿宋" w:cs="Times New Roman"/>
          <w:sz w:val="28"/>
          <w:szCs w:val="28"/>
        </w:rPr>
        <w:t>36</w:t>
      </w:r>
      <w:r>
        <w:rPr>
          <w:rFonts w:hint="eastAsia" w:ascii="仿宋" w:hAnsi="仿宋" w:eastAsia="仿宋" w:cs="Times New Roman"/>
          <w:sz w:val="28"/>
          <w:szCs w:val="28"/>
        </w:rPr>
        <w:t>0000元，投标总价不得超出最高限价，否则视为无效投标。</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2.投标人提供的服务应符合所采购内容相关的国家标准、行业标准、地方标准及其他相关标准、规范。</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 投标总报价包括完成本项目的成本、利润、运费、税金等全部费用。</w:t>
      </w:r>
    </w:p>
    <w:p>
      <w:pPr>
        <w:adjustRightInd w:val="0"/>
        <w:snapToGrid w:val="0"/>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4. 伴随服务（费用包含在投标总价内）：服务过程中的专家费用、人员培训、含税等费用。</w:t>
      </w:r>
    </w:p>
    <w:p>
      <w:pPr>
        <w:adjustRightInd w:val="0"/>
        <w:snapToGrid w:val="0"/>
        <w:spacing w:line="560" w:lineRule="exact"/>
        <w:ind w:firstLine="560" w:firstLineChars="200"/>
        <w:rPr>
          <w:rFonts w:ascii="仿宋" w:hAnsi="仿宋" w:eastAsia="仿宋" w:cs="Times New Roman"/>
          <w:sz w:val="28"/>
          <w:szCs w:val="28"/>
        </w:rPr>
      </w:pPr>
    </w:p>
    <w:p>
      <w:pPr>
        <w:pStyle w:val="14"/>
        <w:framePr w:wrap="auto" w:vAnchor="margin" w:hAnchor="text" w:yAlign="inline"/>
        <w:adjustRightInd w:val="0"/>
        <w:snapToGrid w:val="0"/>
        <w:spacing w:line="560" w:lineRule="exact"/>
        <w:ind w:firstLine="551" w:firstLineChars="196"/>
        <w:rPr>
          <w:rFonts w:hint="default" w:ascii="仿宋" w:hAnsi="仿宋" w:eastAsia="仿宋" w:cs="Times New Roman"/>
          <w:sz w:val="28"/>
          <w:szCs w:val="28"/>
        </w:rPr>
      </w:pPr>
      <w:r>
        <w:rPr>
          <w:rFonts w:ascii="黑体" w:hAnsi="黑体" w:eastAsia="黑体" w:cs="宋体"/>
          <w:b/>
          <w:bCs/>
          <w:sz w:val="28"/>
          <w:szCs w:val="28"/>
          <w:lang w:val="zh-TW" w:eastAsia="zh-TW"/>
        </w:rPr>
        <w:t>四、主要商务需求</w:t>
      </w:r>
    </w:p>
    <w:p>
      <w:pPr>
        <w:pStyle w:val="14"/>
        <w:framePr w:wrap="auto" w:vAnchor="margin" w:hAnchor="text" w:yAlign="inline"/>
        <w:adjustRightInd w:val="0"/>
        <w:snapToGrid w:val="0"/>
        <w:spacing w:line="560" w:lineRule="exact"/>
        <w:ind w:firstLine="562" w:firstLineChars="200"/>
        <w:rPr>
          <w:rFonts w:hint="default" w:ascii="仿宋" w:hAnsi="仿宋" w:eastAsia="仿宋" w:cs="宋体"/>
          <w:b/>
          <w:bCs/>
          <w:sz w:val="28"/>
          <w:szCs w:val="28"/>
          <w:lang w:val="zh-TW"/>
        </w:rPr>
      </w:pPr>
      <w:r>
        <w:rPr>
          <w:rFonts w:ascii="仿宋" w:hAnsi="仿宋" w:eastAsia="仿宋" w:cs="宋体"/>
          <w:b/>
          <w:bCs/>
          <w:sz w:val="28"/>
          <w:szCs w:val="28"/>
          <w:lang w:val="zh-TW"/>
        </w:rPr>
        <w:t>1.付款方式</w:t>
      </w:r>
    </w:p>
    <w:p>
      <w:pPr>
        <w:pStyle w:val="14"/>
        <w:framePr w:wrap="auto" w:vAnchor="margin" w:hAnchor="text" w:yAlign="inline"/>
        <w:spacing w:line="360" w:lineRule="auto"/>
        <w:ind w:firstLine="480"/>
        <w:rPr>
          <w:rFonts w:hint="default" w:ascii="仿宋" w:hAnsi="仿宋" w:eastAsia="仿宋" w:cstheme="minorBidi"/>
          <w:color w:val="auto"/>
          <w:sz w:val="28"/>
          <w:szCs w:val="28"/>
        </w:rPr>
      </w:pPr>
      <w:r>
        <w:rPr>
          <w:rFonts w:ascii="仿宋" w:hAnsi="仿宋" w:eastAsia="仿宋" w:cstheme="minorBidi"/>
          <w:color w:val="auto"/>
          <w:sz w:val="28"/>
          <w:szCs w:val="28"/>
        </w:rPr>
        <w:t>（1）信息系统取得等级保护备案证后，</w:t>
      </w:r>
      <w:r>
        <w:rPr>
          <w:rFonts w:ascii="仿宋" w:hAnsi="仿宋" w:eastAsia="仿宋"/>
          <w:sz w:val="28"/>
          <w:szCs w:val="28"/>
        </w:rPr>
        <w:t>采购人</w:t>
      </w:r>
      <w:r>
        <w:rPr>
          <w:rFonts w:ascii="仿宋" w:hAnsi="仿宋" w:eastAsia="仿宋" w:cstheme="minorBidi"/>
          <w:color w:val="auto"/>
          <w:sz w:val="28"/>
          <w:szCs w:val="28"/>
        </w:rPr>
        <w:t>于1</w:t>
      </w:r>
      <w:r>
        <w:rPr>
          <w:rFonts w:hint="default" w:ascii="仿宋" w:hAnsi="仿宋" w:eastAsia="仿宋" w:cstheme="minorBidi"/>
          <w:color w:val="auto"/>
          <w:sz w:val="28"/>
          <w:szCs w:val="28"/>
        </w:rPr>
        <w:t>0</w:t>
      </w:r>
      <w:r>
        <w:rPr>
          <w:rFonts w:ascii="仿宋" w:hAnsi="仿宋" w:eastAsia="仿宋" w:cstheme="minorBidi"/>
          <w:color w:val="auto"/>
          <w:sz w:val="28"/>
          <w:szCs w:val="28"/>
        </w:rPr>
        <w:t>个工作日内支付结算款的</w:t>
      </w:r>
      <w:r>
        <w:rPr>
          <w:rFonts w:hint="default" w:ascii="仿宋" w:hAnsi="仿宋" w:eastAsia="仿宋" w:cstheme="minorBidi"/>
          <w:color w:val="auto"/>
          <w:sz w:val="28"/>
          <w:szCs w:val="28"/>
        </w:rPr>
        <w:t>20%</w:t>
      </w:r>
      <w:r>
        <w:rPr>
          <w:rFonts w:ascii="仿宋" w:hAnsi="仿宋" w:eastAsia="仿宋" w:cstheme="minorBidi"/>
          <w:color w:val="auto"/>
          <w:sz w:val="28"/>
          <w:szCs w:val="28"/>
        </w:rPr>
        <w:t>。</w:t>
      </w:r>
    </w:p>
    <w:p>
      <w:pPr>
        <w:pStyle w:val="14"/>
        <w:framePr w:wrap="auto" w:vAnchor="margin" w:hAnchor="text" w:yAlign="inline"/>
        <w:spacing w:line="360" w:lineRule="auto"/>
        <w:ind w:firstLine="480"/>
        <w:rPr>
          <w:rFonts w:hint="default" w:ascii="仿宋" w:hAnsi="仿宋" w:eastAsia="仿宋" w:cstheme="minorBidi"/>
          <w:color w:val="auto"/>
          <w:sz w:val="28"/>
          <w:szCs w:val="28"/>
        </w:rPr>
      </w:pPr>
      <w:r>
        <w:rPr>
          <w:rFonts w:ascii="仿宋" w:hAnsi="仿宋" w:eastAsia="仿宋" w:cstheme="minorBidi"/>
          <w:color w:val="auto"/>
          <w:sz w:val="28"/>
          <w:szCs w:val="28"/>
        </w:rPr>
        <w:t>（2）信息系统由具有等保测评资质单位完成初测，出具差距分析报告和整改意见后，</w:t>
      </w:r>
      <w:r>
        <w:rPr>
          <w:rFonts w:ascii="仿宋" w:hAnsi="仿宋" w:eastAsia="仿宋"/>
          <w:sz w:val="28"/>
          <w:szCs w:val="28"/>
        </w:rPr>
        <w:t>采购人</w:t>
      </w:r>
      <w:r>
        <w:rPr>
          <w:rFonts w:ascii="仿宋" w:hAnsi="仿宋" w:eastAsia="仿宋" w:cstheme="minorBidi"/>
          <w:color w:val="auto"/>
          <w:sz w:val="28"/>
          <w:szCs w:val="28"/>
        </w:rPr>
        <w:t>于10个工作日内支付结算款的</w:t>
      </w:r>
      <w:r>
        <w:rPr>
          <w:rFonts w:hint="default" w:ascii="仿宋" w:hAnsi="仿宋" w:eastAsia="仿宋" w:cstheme="minorBidi"/>
          <w:color w:val="auto"/>
          <w:sz w:val="28"/>
          <w:szCs w:val="28"/>
        </w:rPr>
        <w:t>30</w:t>
      </w:r>
      <w:r>
        <w:rPr>
          <w:rFonts w:ascii="仿宋" w:hAnsi="仿宋" w:eastAsia="仿宋" w:cstheme="minorBidi"/>
          <w:color w:val="auto"/>
          <w:sz w:val="28"/>
          <w:szCs w:val="28"/>
        </w:rPr>
        <w:t>%。</w:t>
      </w:r>
    </w:p>
    <w:p>
      <w:pPr>
        <w:pStyle w:val="14"/>
        <w:framePr w:wrap="auto" w:vAnchor="margin" w:hAnchor="text" w:yAlign="inline"/>
        <w:spacing w:line="360" w:lineRule="auto"/>
        <w:ind w:firstLine="480"/>
        <w:rPr>
          <w:rFonts w:hint="default" w:ascii="仿宋" w:hAnsi="仿宋" w:eastAsia="仿宋" w:cstheme="minorBidi"/>
          <w:color w:val="auto"/>
          <w:sz w:val="28"/>
          <w:szCs w:val="28"/>
        </w:rPr>
      </w:pPr>
      <w:r>
        <w:rPr>
          <w:rFonts w:ascii="仿宋" w:hAnsi="仿宋" w:eastAsia="仿宋" w:cstheme="minorBidi"/>
          <w:color w:val="auto"/>
          <w:sz w:val="28"/>
          <w:szCs w:val="28"/>
        </w:rPr>
        <w:t>（2）信息系统通过二级等保测评后，</w:t>
      </w:r>
      <w:r>
        <w:rPr>
          <w:rFonts w:ascii="仿宋" w:hAnsi="仿宋" w:eastAsia="仿宋"/>
          <w:sz w:val="28"/>
          <w:szCs w:val="28"/>
        </w:rPr>
        <w:t>采购人</w:t>
      </w:r>
      <w:r>
        <w:rPr>
          <w:rFonts w:ascii="仿宋" w:hAnsi="仿宋" w:eastAsia="仿宋" w:cstheme="minorBidi"/>
          <w:color w:val="auto"/>
          <w:sz w:val="28"/>
          <w:szCs w:val="28"/>
        </w:rPr>
        <w:t>于1</w:t>
      </w:r>
      <w:r>
        <w:rPr>
          <w:rFonts w:hint="default" w:ascii="仿宋" w:hAnsi="仿宋" w:eastAsia="仿宋" w:cstheme="minorBidi"/>
          <w:color w:val="auto"/>
          <w:sz w:val="28"/>
          <w:szCs w:val="28"/>
        </w:rPr>
        <w:t>0</w:t>
      </w:r>
      <w:r>
        <w:rPr>
          <w:rFonts w:ascii="仿宋" w:hAnsi="仿宋" w:eastAsia="仿宋" w:cstheme="minorBidi"/>
          <w:color w:val="auto"/>
          <w:sz w:val="28"/>
          <w:szCs w:val="28"/>
        </w:rPr>
        <w:t>个工作日内支付结算款的5</w:t>
      </w:r>
      <w:r>
        <w:rPr>
          <w:rFonts w:hint="default" w:ascii="仿宋" w:hAnsi="仿宋" w:eastAsia="仿宋" w:cstheme="minorBidi"/>
          <w:color w:val="auto"/>
          <w:sz w:val="28"/>
          <w:szCs w:val="28"/>
        </w:rPr>
        <w:t>0</w:t>
      </w:r>
      <w:r>
        <w:rPr>
          <w:rFonts w:ascii="仿宋" w:hAnsi="仿宋" w:eastAsia="仿宋" w:cstheme="minorBidi"/>
          <w:color w:val="auto"/>
          <w:sz w:val="28"/>
          <w:szCs w:val="28"/>
        </w:rPr>
        <w:t>%。</w:t>
      </w:r>
    </w:p>
    <w:p>
      <w:pPr>
        <w:adjustRightInd w:val="0"/>
        <w:snapToGrid w:val="0"/>
        <w:spacing w:line="560" w:lineRule="exact"/>
        <w:ind w:firstLine="562" w:firstLineChars="200"/>
        <w:rPr>
          <w:rFonts w:ascii="仿宋" w:hAnsi="仿宋" w:eastAsia="仿宋" w:cs="宋体"/>
          <w:b/>
          <w:bCs/>
          <w:sz w:val="28"/>
          <w:szCs w:val="28"/>
          <w:lang w:val="zh-TW"/>
        </w:rPr>
      </w:pPr>
      <w:r>
        <w:rPr>
          <w:rFonts w:ascii="仿宋" w:hAnsi="仿宋" w:eastAsia="仿宋" w:cs="宋体"/>
          <w:b/>
          <w:bCs/>
          <w:sz w:val="28"/>
          <w:szCs w:val="28"/>
          <w:lang w:val="zh-TW"/>
        </w:rPr>
        <w:t>2.验收要求</w:t>
      </w:r>
    </w:p>
    <w:p>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（1）服务若有国家标准按照国家标准验收，若无国家标准按行业标准验收。</w:t>
      </w:r>
    </w:p>
    <w:p>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采购人组成验收小组按国家有关规定、规范进行验收，必要时邀请相关的专业人员或机构参与验收；因服务质量问题发生争议时，采购人委托本地有关质量技术监督部门鉴定。</w:t>
      </w:r>
    </w:p>
    <w:p>
      <w:pPr>
        <w:pStyle w:val="14"/>
        <w:framePr w:wrap="auto" w:vAnchor="margin" w:hAnchor="text" w:yAlign="inline"/>
        <w:adjustRightInd w:val="0"/>
        <w:snapToGrid w:val="0"/>
        <w:spacing w:line="560" w:lineRule="exact"/>
        <w:ind w:firstLine="562" w:firstLineChars="200"/>
        <w:rPr>
          <w:rFonts w:hint="default" w:ascii="仿宋" w:hAnsi="仿宋" w:eastAsia="仿宋" w:cs="宋体"/>
          <w:b/>
          <w:bCs/>
          <w:sz w:val="28"/>
          <w:szCs w:val="28"/>
          <w:lang w:val="zh-TW" w:eastAsia="zh-TW"/>
        </w:rPr>
      </w:pPr>
      <w:r>
        <w:rPr>
          <w:rFonts w:ascii="仿宋" w:hAnsi="仿宋" w:eastAsia="仿宋" w:cs="宋体"/>
          <w:b/>
          <w:sz w:val="28"/>
          <w:szCs w:val="28"/>
          <w:lang w:val="zh-TW"/>
        </w:rPr>
        <w:t>3.</w:t>
      </w:r>
      <w:r>
        <w:rPr>
          <w:rFonts w:ascii="仿宋" w:hAnsi="仿宋" w:eastAsia="仿宋" w:cs="宋体"/>
          <w:b/>
          <w:bCs/>
          <w:sz w:val="28"/>
          <w:szCs w:val="28"/>
          <w:lang w:val="zh-TW" w:eastAsia="zh-TW"/>
        </w:rPr>
        <w:t>服务</w:t>
      </w:r>
      <w:r>
        <w:rPr>
          <w:rFonts w:ascii="仿宋" w:hAnsi="仿宋" w:eastAsia="仿宋" w:cs="宋体"/>
          <w:b/>
          <w:bCs/>
          <w:sz w:val="28"/>
          <w:szCs w:val="28"/>
          <w:lang w:val="zh-TW"/>
        </w:rPr>
        <w:t>要</w:t>
      </w:r>
      <w:r>
        <w:rPr>
          <w:rFonts w:ascii="仿宋" w:hAnsi="仿宋" w:eastAsia="仿宋" w:cs="宋体"/>
          <w:b/>
          <w:bCs/>
          <w:sz w:val="28"/>
          <w:szCs w:val="28"/>
          <w:lang w:val="zh-TW" w:eastAsia="zh-TW"/>
        </w:rPr>
        <w:t>求</w:t>
      </w:r>
    </w:p>
    <w:p>
      <w:pPr>
        <w:pStyle w:val="14"/>
        <w:framePr w:wrap="auto" w:vAnchor="margin" w:hAnchor="text" w:yAlign="inline"/>
        <w:adjustRightInd w:val="0"/>
        <w:snapToGrid w:val="0"/>
        <w:spacing w:line="560" w:lineRule="exact"/>
        <w:ind w:firstLine="560" w:firstLineChars="200"/>
        <w:jc w:val="left"/>
        <w:rPr>
          <w:rFonts w:hint="default" w:ascii="仿宋" w:hAnsi="仿宋" w:eastAsia="仿宋" w:cs="宋体"/>
          <w:sz w:val="28"/>
          <w:szCs w:val="28"/>
          <w:highlight w:val="none"/>
          <w:lang w:val="zh-TW"/>
        </w:rPr>
      </w:pPr>
      <w:r>
        <w:rPr>
          <w:rFonts w:ascii="仿宋" w:hAnsi="仿宋" w:eastAsia="仿宋" w:cs="宋体"/>
          <w:sz w:val="28"/>
          <w:szCs w:val="28"/>
          <w:lang w:val="zh-TW"/>
        </w:rPr>
        <w:t>投标人为采购人提供二级等保评测一站式服务，包括定级、备案、测评及整改服务，其中测评、整改服务不限次数，</w:t>
      </w:r>
      <w:r>
        <w:rPr>
          <w:rFonts w:ascii="仿宋" w:hAnsi="仿宋" w:eastAsia="仿宋" w:cs="宋体"/>
          <w:sz w:val="28"/>
          <w:szCs w:val="28"/>
          <w:highlight w:val="none"/>
          <w:lang w:val="zh-TW"/>
        </w:rPr>
        <w:t>直至项目内所有系统通过二级等保测评。</w:t>
      </w:r>
    </w:p>
    <w:p>
      <w:pPr>
        <w:pStyle w:val="14"/>
        <w:framePr w:wrap="auto" w:vAnchor="margin" w:hAnchor="text" w:yAlign="inline"/>
        <w:adjustRightInd w:val="0"/>
        <w:snapToGrid w:val="0"/>
        <w:spacing w:line="560" w:lineRule="exact"/>
        <w:ind w:firstLine="560" w:firstLineChars="200"/>
        <w:jc w:val="left"/>
        <w:rPr>
          <w:rFonts w:hint="default" w:ascii="仿宋" w:hAnsi="仿宋" w:eastAsia="仿宋" w:cs="宋体"/>
          <w:sz w:val="28"/>
          <w:szCs w:val="28"/>
          <w:lang w:val="zh-TW" w:eastAsia="zh-TW"/>
        </w:rPr>
      </w:pPr>
    </w:p>
    <w:p>
      <w:pPr>
        <w:pStyle w:val="14"/>
        <w:framePr w:wrap="auto" w:vAnchor="margin" w:hAnchor="text" w:yAlign="inline"/>
        <w:adjustRightInd w:val="0"/>
        <w:snapToGrid w:val="0"/>
        <w:spacing w:line="560" w:lineRule="exact"/>
        <w:ind w:firstLine="562" w:firstLineChars="200"/>
        <w:rPr>
          <w:rFonts w:hint="default" w:ascii="仿宋" w:hAnsi="仿宋" w:eastAsia="仿宋" w:cs="Times New Roman"/>
          <w:sz w:val="28"/>
          <w:szCs w:val="28"/>
        </w:rPr>
      </w:pPr>
      <w:r>
        <w:rPr>
          <w:rFonts w:ascii="黑体" w:hAnsi="黑体" w:eastAsia="黑体" w:cs="宋体"/>
          <w:b/>
          <w:bCs/>
          <w:sz w:val="28"/>
          <w:szCs w:val="28"/>
          <w:lang w:val="zh-TW" w:eastAsia="zh-TW"/>
        </w:rPr>
        <w:t>五、技术规格及参数要求</w:t>
      </w:r>
      <w:r>
        <w:rPr>
          <w:rFonts w:ascii="黑体" w:hAnsi="黑体" w:eastAsia="黑体" w:cs="宋体"/>
          <w:b/>
          <w:bCs/>
          <w:sz w:val="28"/>
          <w:szCs w:val="28"/>
          <w:lang w:val="zh-TW"/>
        </w:rPr>
        <w:t>（清单）</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1560"/>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4"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参数性质</w:t>
            </w:r>
          </w:p>
        </w:tc>
        <w:tc>
          <w:tcPr>
            <w:tcW w:w="992"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1560"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内容</w:t>
            </w:r>
          </w:p>
        </w:tc>
        <w:tc>
          <w:tcPr>
            <w:tcW w:w="4847" w:type="dxa"/>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具体技术（参数）要求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384"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w:t>
            </w:r>
          </w:p>
        </w:tc>
        <w:tc>
          <w:tcPr>
            <w:tcW w:w="992"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1560"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系统定级及备案</w:t>
            </w:r>
          </w:p>
        </w:tc>
        <w:tc>
          <w:tcPr>
            <w:tcW w:w="4847" w:type="dxa"/>
          </w:tcPr>
          <w:p>
            <w:pPr>
              <w:adjustRightInd w:val="0"/>
              <w:snapToGrid w:val="0"/>
              <w:spacing w:line="4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完成学院官网（复评）、学院信息门户、OA系统、教务管理系统、学工管理系统、碧职云教学平台等6个系统的定级报告及备案表并提交网监审核。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84" w:type="dxa"/>
            <w:vAlign w:val="center"/>
          </w:tcPr>
          <w:p>
            <w:pPr>
              <w:jc w:val="center"/>
              <w:rPr>
                <w:rFonts w:ascii="Calibri" w:hAnsi="Calibri" w:eastAsia="宋体" w:cs="Times New Roman"/>
                <w:kern w:val="0"/>
                <w:sz w:val="20"/>
                <w:szCs w:val="20"/>
              </w:rPr>
            </w:pPr>
            <w:r>
              <w:rPr>
                <w:rFonts w:hint="eastAsia" w:ascii="仿宋" w:hAnsi="仿宋" w:eastAsia="仿宋" w:cs="Times New Roman"/>
                <w:kern w:val="0"/>
                <w:sz w:val="28"/>
                <w:szCs w:val="28"/>
              </w:rPr>
              <w:t>★</w:t>
            </w:r>
          </w:p>
        </w:tc>
        <w:tc>
          <w:tcPr>
            <w:tcW w:w="992"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2</w:t>
            </w:r>
          </w:p>
        </w:tc>
        <w:tc>
          <w:tcPr>
            <w:tcW w:w="1560" w:type="dxa"/>
            <w:vAlign w:val="center"/>
          </w:tcPr>
          <w:p>
            <w:pPr>
              <w:adjustRightInd w:val="0"/>
              <w:snapToGrid w:val="0"/>
              <w:spacing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测评服务</w:t>
            </w:r>
          </w:p>
        </w:tc>
        <w:tc>
          <w:tcPr>
            <w:tcW w:w="4847" w:type="dxa"/>
          </w:tcPr>
          <w:p>
            <w:pPr>
              <w:adjustRightInd w:val="0"/>
              <w:snapToGrid w:val="0"/>
              <w:spacing w:line="400" w:lineRule="exact"/>
              <w:jc w:val="left"/>
              <w:rPr>
                <w:rFonts w:ascii="仿宋" w:hAnsi="仿宋" w:eastAsia="仿宋" w:cs="Times New Roman"/>
                <w:kern w:val="0"/>
                <w:sz w:val="28"/>
                <w:szCs w:val="28"/>
              </w:rPr>
            </w:pPr>
            <w:r>
              <w:rPr>
                <w:rFonts w:hint="eastAsia" w:ascii="仿宋" w:hAnsi="仿宋" w:eastAsia="仿宋" w:cs="Times New Roman"/>
                <w:kern w:val="0"/>
                <w:sz w:val="28"/>
                <w:szCs w:val="28"/>
              </w:rPr>
              <w:t>完成学院官网（复评）、学院信息门户、OA系统、教务管理系统、学工管理系统、碧职云教学平台等6个系统的二级等保测评并生成测评报告。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84" w:type="dxa"/>
            <w:vAlign w:val="center"/>
          </w:tcPr>
          <w:p>
            <w:pPr>
              <w:jc w:val="center"/>
              <w:rPr>
                <w:rFonts w:ascii="Calibri" w:hAnsi="Calibri" w:eastAsia="宋体" w:cs="Times New Roman"/>
                <w:kern w:val="0"/>
                <w:sz w:val="20"/>
                <w:szCs w:val="20"/>
              </w:rPr>
            </w:pPr>
            <w:r>
              <w:rPr>
                <w:rFonts w:hint="eastAsia" w:ascii="仿宋" w:hAnsi="仿宋" w:eastAsia="仿宋" w:cs="Times New Roman"/>
                <w:kern w:val="0"/>
                <w:sz w:val="28"/>
                <w:szCs w:val="28"/>
              </w:rPr>
              <w:t>★</w:t>
            </w:r>
          </w:p>
        </w:tc>
        <w:tc>
          <w:tcPr>
            <w:tcW w:w="992"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3</w:t>
            </w:r>
          </w:p>
        </w:tc>
        <w:tc>
          <w:tcPr>
            <w:tcW w:w="1560" w:type="dxa"/>
            <w:vAlign w:val="center"/>
          </w:tcPr>
          <w:p>
            <w:pPr>
              <w:adjustRightInd w:val="0"/>
              <w:snapToGrid w:val="0"/>
              <w:spacing w:line="560" w:lineRule="exact"/>
              <w:jc w:val="center"/>
              <w:rPr>
                <w:rFonts w:ascii="仿宋" w:hAnsi="仿宋" w:eastAsia="仿宋" w:cstheme="minorBidi"/>
                <w:kern w:val="2"/>
                <w:sz w:val="28"/>
                <w:szCs w:val="28"/>
              </w:rPr>
            </w:pPr>
            <w:r>
              <w:rPr>
                <w:rFonts w:hint="eastAsia" w:ascii="仿宋" w:hAnsi="仿宋" w:eastAsia="仿宋" w:cstheme="minorBidi"/>
                <w:kern w:val="2"/>
                <w:sz w:val="28"/>
                <w:szCs w:val="28"/>
              </w:rPr>
              <w:t>整改服务</w:t>
            </w:r>
          </w:p>
        </w:tc>
        <w:tc>
          <w:tcPr>
            <w:tcW w:w="4847" w:type="dxa"/>
          </w:tcPr>
          <w:p>
            <w:pPr>
              <w:adjustRightInd w:val="0"/>
              <w:snapToGrid w:val="0"/>
              <w:spacing w:line="560" w:lineRule="exact"/>
              <w:jc w:val="left"/>
              <w:rPr>
                <w:rFonts w:ascii="仿宋" w:hAnsi="仿宋" w:eastAsia="仿宋" w:cstheme="minorBidi"/>
                <w:kern w:val="2"/>
                <w:sz w:val="28"/>
                <w:szCs w:val="28"/>
              </w:rPr>
            </w:pPr>
            <w:r>
              <w:rPr>
                <w:rFonts w:hint="eastAsia" w:ascii="仿宋" w:hAnsi="仿宋" w:eastAsia="仿宋" w:cstheme="minorBidi"/>
                <w:kern w:val="2"/>
                <w:sz w:val="28"/>
                <w:szCs w:val="28"/>
              </w:rPr>
              <w:t>根据初测差距报告完成除涉及到系统源码修改之外的其它整改项目。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384" w:type="dxa"/>
            <w:vAlign w:val="center"/>
          </w:tcPr>
          <w:p>
            <w:pPr>
              <w:adjustRightInd w:val="0"/>
              <w:snapToGrid w:val="0"/>
              <w:spacing w:line="560" w:lineRule="exact"/>
              <w:jc w:val="center"/>
              <w:rPr>
                <w:rFonts w:ascii="仿宋" w:hAnsi="仿宋" w:eastAsia="仿宋" w:cs="Times New Roman"/>
                <w:kern w:val="0"/>
                <w:sz w:val="28"/>
                <w:szCs w:val="28"/>
              </w:rPr>
            </w:pPr>
            <w:r>
              <w:rPr>
                <w:rFonts w:hint="eastAsia" w:ascii="仿宋" w:hAnsi="仿宋" w:eastAsia="仿宋" w:cs="Times New Roman"/>
                <w:kern w:val="0"/>
                <w:sz w:val="28"/>
                <w:szCs w:val="28"/>
              </w:rPr>
              <w:t>说明</w:t>
            </w:r>
          </w:p>
        </w:tc>
        <w:tc>
          <w:tcPr>
            <w:tcW w:w="7399" w:type="dxa"/>
            <w:gridSpan w:val="3"/>
            <w:vAlign w:val="center"/>
          </w:tcPr>
          <w:p>
            <w:pPr>
              <w:adjustRightInd w:val="0"/>
              <w:snapToGrid w:val="0"/>
              <w:spacing w:line="560" w:lineRule="exact"/>
              <w:rPr>
                <w:rFonts w:ascii="仿宋" w:hAnsi="仿宋" w:eastAsia="仿宋" w:cs="Times New Roman"/>
                <w:kern w:val="0"/>
                <w:sz w:val="28"/>
                <w:szCs w:val="28"/>
              </w:rPr>
            </w:pPr>
            <w:r>
              <w:rPr>
                <w:rFonts w:hint="eastAsia" w:ascii="仿宋" w:hAnsi="仿宋" w:eastAsia="仿宋" w:cs="Times New Roman"/>
                <w:kern w:val="0"/>
                <w:sz w:val="28"/>
                <w:szCs w:val="28"/>
              </w:rPr>
              <w:t>打“★”号条款为实质性条款，若有任何一条负偏离或不满足则导致投标无效。(根据项目的具体情况设定，不是必须有）</w:t>
            </w:r>
          </w:p>
          <w:p>
            <w:pPr>
              <w:adjustRightInd w:val="0"/>
              <w:snapToGrid w:val="0"/>
              <w:spacing w:line="560" w:lineRule="exact"/>
              <w:rPr>
                <w:rFonts w:ascii="仿宋" w:hAnsi="仿宋" w:eastAsia="仿宋" w:cs="Times New Roman"/>
                <w:kern w:val="0"/>
                <w:sz w:val="28"/>
                <w:szCs w:val="28"/>
              </w:rPr>
            </w:pPr>
            <w:r>
              <w:rPr>
                <w:rFonts w:hint="eastAsia" w:ascii="仿宋" w:hAnsi="仿宋" w:eastAsia="仿宋" w:cs="Times New Roman"/>
                <w:kern w:val="0"/>
                <w:sz w:val="28"/>
                <w:szCs w:val="28"/>
              </w:rPr>
              <w:t>打“▲”号条款为重要技术参数，若有部分“▲”条款未响应或不满足，将导致其响应性评审加重扣分，但不作为无效投标条款。(根据项目的具体情况设定，不是必须有）</w:t>
            </w:r>
          </w:p>
        </w:tc>
      </w:tr>
    </w:tbl>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pStyle w:val="14"/>
        <w:framePr w:wrap="auto" w:vAnchor="margin" w:hAnchor="text" w:yAlign="inline"/>
        <w:adjustRightInd w:val="0"/>
        <w:snapToGrid w:val="0"/>
        <w:spacing w:line="560" w:lineRule="exact"/>
        <w:ind w:firstLine="560" w:firstLineChars="200"/>
        <w:rPr>
          <w:rFonts w:hint="default" w:ascii="仿宋" w:hAnsi="仿宋" w:eastAsia="仿宋" w:cs="Times New Roman"/>
          <w:sz w:val="28"/>
          <w:szCs w:val="28"/>
        </w:rPr>
      </w:pPr>
    </w:p>
    <w:p>
      <w:pPr>
        <w:widowControl/>
        <w:jc w:val="left"/>
        <w:rPr>
          <w:rFonts w:ascii="仿宋" w:hAnsi="仿宋" w:eastAsia="仿宋" w:cs="Times New Roman"/>
          <w:color w:val="000000"/>
          <w:sz w:val="28"/>
          <w:szCs w:val="28"/>
          <w:u w:color="000000"/>
        </w:rPr>
      </w:pPr>
    </w:p>
    <w:sectPr>
      <w:pgSz w:w="11900" w:h="16840"/>
      <w:pgMar w:top="1134" w:right="1440" w:bottom="1134" w:left="13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MTRmM2Q1ZDNjMjJmOWJlZThjMjdiNDljYzRjZmMifQ=="/>
  </w:docVars>
  <w:rsids>
    <w:rsidRoot w:val="000D0605"/>
    <w:rsid w:val="00000BA6"/>
    <w:rsid w:val="00017844"/>
    <w:rsid w:val="00020169"/>
    <w:rsid w:val="000429A3"/>
    <w:rsid w:val="000675C5"/>
    <w:rsid w:val="00071C4F"/>
    <w:rsid w:val="00080139"/>
    <w:rsid w:val="00082434"/>
    <w:rsid w:val="000835FE"/>
    <w:rsid w:val="00094BAB"/>
    <w:rsid w:val="000977A4"/>
    <w:rsid w:val="000A60B8"/>
    <w:rsid w:val="000A6C55"/>
    <w:rsid w:val="000A7761"/>
    <w:rsid w:val="000A77CF"/>
    <w:rsid w:val="000B6E16"/>
    <w:rsid w:val="000C6D42"/>
    <w:rsid w:val="000D0605"/>
    <w:rsid w:val="000D26D0"/>
    <w:rsid w:val="000D343A"/>
    <w:rsid w:val="000E67D7"/>
    <w:rsid w:val="001337AF"/>
    <w:rsid w:val="00156312"/>
    <w:rsid w:val="001625DA"/>
    <w:rsid w:val="00167308"/>
    <w:rsid w:val="00185705"/>
    <w:rsid w:val="00191D0D"/>
    <w:rsid w:val="001956D1"/>
    <w:rsid w:val="00197987"/>
    <w:rsid w:val="001A1729"/>
    <w:rsid w:val="001A44C6"/>
    <w:rsid w:val="001B2EA9"/>
    <w:rsid w:val="001B30A1"/>
    <w:rsid w:val="001B3EB4"/>
    <w:rsid w:val="001E6BC8"/>
    <w:rsid w:val="001F4A24"/>
    <w:rsid w:val="002009AC"/>
    <w:rsid w:val="00220959"/>
    <w:rsid w:val="00224308"/>
    <w:rsid w:val="00224484"/>
    <w:rsid w:val="002309D2"/>
    <w:rsid w:val="00230BDA"/>
    <w:rsid w:val="0024129F"/>
    <w:rsid w:val="002524D1"/>
    <w:rsid w:val="00276750"/>
    <w:rsid w:val="0028578E"/>
    <w:rsid w:val="002A7D44"/>
    <w:rsid w:val="002C26C3"/>
    <w:rsid w:val="002C5EF3"/>
    <w:rsid w:val="002C709F"/>
    <w:rsid w:val="002E7191"/>
    <w:rsid w:val="002F5C38"/>
    <w:rsid w:val="003005E5"/>
    <w:rsid w:val="00301577"/>
    <w:rsid w:val="003074B6"/>
    <w:rsid w:val="00315103"/>
    <w:rsid w:val="00317404"/>
    <w:rsid w:val="00321031"/>
    <w:rsid w:val="00321DAB"/>
    <w:rsid w:val="00325A67"/>
    <w:rsid w:val="0033037B"/>
    <w:rsid w:val="003329EE"/>
    <w:rsid w:val="0034634C"/>
    <w:rsid w:val="00356FA4"/>
    <w:rsid w:val="00370F7F"/>
    <w:rsid w:val="00377E28"/>
    <w:rsid w:val="0039341C"/>
    <w:rsid w:val="003A7639"/>
    <w:rsid w:val="003D26EC"/>
    <w:rsid w:val="003D583F"/>
    <w:rsid w:val="003D7CD8"/>
    <w:rsid w:val="003E3D8B"/>
    <w:rsid w:val="003F1C11"/>
    <w:rsid w:val="003F32BE"/>
    <w:rsid w:val="00401591"/>
    <w:rsid w:val="00406ED2"/>
    <w:rsid w:val="004115E0"/>
    <w:rsid w:val="00413052"/>
    <w:rsid w:val="0041546A"/>
    <w:rsid w:val="0041690B"/>
    <w:rsid w:val="00420AAA"/>
    <w:rsid w:val="00432FF9"/>
    <w:rsid w:val="004403D8"/>
    <w:rsid w:val="00457FA6"/>
    <w:rsid w:val="004607AD"/>
    <w:rsid w:val="004651CB"/>
    <w:rsid w:val="004765F9"/>
    <w:rsid w:val="004C68EB"/>
    <w:rsid w:val="004D2E16"/>
    <w:rsid w:val="004D6DAB"/>
    <w:rsid w:val="004E4FA7"/>
    <w:rsid w:val="004E6CAA"/>
    <w:rsid w:val="004F7AC6"/>
    <w:rsid w:val="00511226"/>
    <w:rsid w:val="00552C4F"/>
    <w:rsid w:val="00556098"/>
    <w:rsid w:val="005657F4"/>
    <w:rsid w:val="0057194A"/>
    <w:rsid w:val="00581DF1"/>
    <w:rsid w:val="00594537"/>
    <w:rsid w:val="005A3FEF"/>
    <w:rsid w:val="005B26FB"/>
    <w:rsid w:val="005B3A69"/>
    <w:rsid w:val="005B694F"/>
    <w:rsid w:val="005C04F3"/>
    <w:rsid w:val="005C13FB"/>
    <w:rsid w:val="005C51F0"/>
    <w:rsid w:val="005D239D"/>
    <w:rsid w:val="005D38F1"/>
    <w:rsid w:val="005D4799"/>
    <w:rsid w:val="005D63F3"/>
    <w:rsid w:val="005E05FA"/>
    <w:rsid w:val="005E7DD4"/>
    <w:rsid w:val="005F796F"/>
    <w:rsid w:val="005F7F82"/>
    <w:rsid w:val="00620683"/>
    <w:rsid w:val="00623DCD"/>
    <w:rsid w:val="00636BF6"/>
    <w:rsid w:val="006422DC"/>
    <w:rsid w:val="0066250B"/>
    <w:rsid w:val="00663A41"/>
    <w:rsid w:val="00665376"/>
    <w:rsid w:val="00667410"/>
    <w:rsid w:val="006717E9"/>
    <w:rsid w:val="006849CC"/>
    <w:rsid w:val="0069774B"/>
    <w:rsid w:val="006A01C6"/>
    <w:rsid w:val="006B2FBB"/>
    <w:rsid w:val="006B41C1"/>
    <w:rsid w:val="006D1452"/>
    <w:rsid w:val="006D364F"/>
    <w:rsid w:val="006F30DB"/>
    <w:rsid w:val="00712FE1"/>
    <w:rsid w:val="00722ED5"/>
    <w:rsid w:val="007317F5"/>
    <w:rsid w:val="00737078"/>
    <w:rsid w:val="007435BC"/>
    <w:rsid w:val="007466B8"/>
    <w:rsid w:val="00756A33"/>
    <w:rsid w:val="00765B66"/>
    <w:rsid w:val="00773D35"/>
    <w:rsid w:val="007754EE"/>
    <w:rsid w:val="00783C00"/>
    <w:rsid w:val="007A1B30"/>
    <w:rsid w:val="007A5136"/>
    <w:rsid w:val="007B1C1A"/>
    <w:rsid w:val="007B68D7"/>
    <w:rsid w:val="007D5926"/>
    <w:rsid w:val="007D5EC6"/>
    <w:rsid w:val="007F244F"/>
    <w:rsid w:val="007F4C2F"/>
    <w:rsid w:val="008211C7"/>
    <w:rsid w:val="008270BE"/>
    <w:rsid w:val="008515A8"/>
    <w:rsid w:val="008568F2"/>
    <w:rsid w:val="0086088B"/>
    <w:rsid w:val="0087789C"/>
    <w:rsid w:val="008A6246"/>
    <w:rsid w:val="008C4B5C"/>
    <w:rsid w:val="008D3267"/>
    <w:rsid w:val="008E4EC7"/>
    <w:rsid w:val="008F4B7A"/>
    <w:rsid w:val="008F7515"/>
    <w:rsid w:val="00900E58"/>
    <w:rsid w:val="00903CA1"/>
    <w:rsid w:val="00904A5A"/>
    <w:rsid w:val="009066AD"/>
    <w:rsid w:val="00925575"/>
    <w:rsid w:val="00926614"/>
    <w:rsid w:val="00934333"/>
    <w:rsid w:val="00934F1F"/>
    <w:rsid w:val="00970330"/>
    <w:rsid w:val="009D7E59"/>
    <w:rsid w:val="00A1699D"/>
    <w:rsid w:val="00A21217"/>
    <w:rsid w:val="00A55342"/>
    <w:rsid w:val="00A559DA"/>
    <w:rsid w:val="00A71977"/>
    <w:rsid w:val="00A827FA"/>
    <w:rsid w:val="00AB0F3C"/>
    <w:rsid w:val="00AC539F"/>
    <w:rsid w:val="00AD623F"/>
    <w:rsid w:val="00AE4CB2"/>
    <w:rsid w:val="00AF000D"/>
    <w:rsid w:val="00AF282A"/>
    <w:rsid w:val="00AF2BB4"/>
    <w:rsid w:val="00AF6DA6"/>
    <w:rsid w:val="00AF7F17"/>
    <w:rsid w:val="00B02E88"/>
    <w:rsid w:val="00B15596"/>
    <w:rsid w:val="00B23D9E"/>
    <w:rsid w:val="00B37C86"/>
    <w:rsid w:val="00B56E10"/>
    <w:rsid w:val="00B56F12"/>
    <w:rsid w:val="00B576EB"/>
    <w:rsid w:val="00B64386"/>
    <w:rsid w:val="00B64AD3"/>
    <w:rsid w:val="00B64C70"/>
    <w:rsid w:val="00B706DD"/>
    <w:rsid w:val="00B71EFB"/>
    <w:rsid w:val="00B77252"/>
    <w:rsid w:val="00BA57F7"/>
    <w:rsid w:val="00BB3CB1"/>
    <w:rsid w:val="00BC59F9"/>
    <w:rsid w:val="00BF77F0"/>
    <w:rsid w:val="00C03B93"/>
    <w:rsid w:val="00C1106F"/>
    <w:rsid w:val="00C113DF"/>
    <w:rsid w:val="00C309F3"/>
    <w:rsid w:val="00C432EC"/>
    <w:rsid w:val="00C52C61"/>
    <w:rsid w:val="00C56BB5"/>
    <w:rsid w:val="00C678D8"/>
    <w:rsid w:val="00C83252"/>
    <w:rsid w:val="00C84AE7"/>
    <w:rsid w:val="00C84E47"/>
    <w:rsid w:val="00C943B2"/>
    <w:rsid w:val="00C974E8"/>
    <w:rsid w:val="00CA1BD6"/>
    <w:rsid w:val="00CA5780"/>
    <w:rsid w:val="00CB538D"/>
    <w:rsid w:val="00CB5ABA"/>
    <w:rsid w:val="00CD2C2C"/>
    <w:rsid w:val="00CE4B92"/>
    <w:rsid w:val="00D11802"/>
    <w:rsid w:val="00D16307"/>
    <w:rsid w:val="00D17AD1"/>
    <w:rsid w:val="00D20C59"/>
    <w:rsid w:val="00D238C9"/>
    <w:rsid w:val="00D33A31"/>
    <w:rsid w:val="00D3463D"/>
    <w:rsid w:val="00D3629E"/>
    <w:rsid w:val="00D7706C"/>
    <w:rsid w:val="00D8095C"/>
    <w:rsid w:val="00D85B54"/>
    <w:rsid w:val="00D94119"/>
    <w:rsid w:val="00D97D86"/>
    <w:rsid w:val="00DA3061"/>
    <w:rsid w:val="00DB1BA3"/>
    <w:rsid w:val="00DB2122"/>
    <w:rsid w:val="00DB30F7"/>
    <w:rsid w:val="00DF254A"/>
    <w:rsid w:val="00E120C8"/>
    <w:rsid w:val="00E156D7"/>
    <w:rsid w:val="00E235DD"/>
    <w:rsid w:val="00E24DF0"/>
    <w:rsid w:val="00E361F3"/>
    <w:rsid w:val="00E42538"/>
    <w:rsid w:val="00E60B8A"/>
    <w:rsid w:val="00E67AED"/>
    <w:rsid w:val="00E71C25"/>
    <w:rsid w:val="00E8414E"/>
    <w:rsid w:val="00E91195"/>
    <w:rsid w:val="00E92028"/>
    <w:rsid w:val="00EA510B"/>
    <w:rsid w:val="00EB37A6"/>
    <w:rsid w:val="00EC0D80"/>
    <w:rsid w:val="00EC1E68"/>
    <w:rsid w:val="00EF3732"/>
    <w:rsid w:val="00EF5182"/>
    <w:rsid w:val="00F01E51"/>
    <w:rsid w:val="00F04320"/>
    <w:rsid w:val="00F177C4"/>
    <w:rsid w:val="00F50DCC"/>
    <w:rsid w:val="00F703BF"/>
    <w:rsid w:val="00F80706"/>
    <w:rsid w:val="00F82F6C"/>
    <w:rsid w:val="00F85ACD"/>
    <w:rsid w:val="00F93439"/>
    <w:rsid w:val="00F9555D"/>
    <w:rsid w:val="00FA32E5"/>
    <w:rsid w:val="00FB3E3C"/>
    <w:rsid w:val="00FC4E9C"/>
    <w:rsid w:val="00FF706E"/>
    <w:rsid w:val="7C4F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adjustRightInd w:val="0"/>
      <w:snapToGrid w:val="0"/>
      <w:spacing w:line="558" w:lineRule="exact"/>
      <w:ind w:firstLine="560" w:firstLineChars="200"/>
      <w:jc w:val="center"/>
      <w:outlineLvl w:val="0"/>
    </w:pPr>
    <w:rPr>
      <w:rFonts w:ascii="黑体" w:hAnsi="黑体" w:eastAsia="黑体"/>
      <w:sz w:val="28"/>
      <w:szCs w:val="2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页眉与页脚"/>
    <w:qFormat/>
    <w:uiPriority w:val="0"/>
    <w:pPr>
      <w:framePr w:wrap="around" w:vAnchor="margin" w:hAnchor="text" w:y="1"/>
      <w:tabs>
        <w:tab w:val="right" w:pos="9020"/>
      </w:tabs>
    </w:pPr>
    <w:rPr>
      <w:rFonts w:ascii="Helvetica Neue" w:hAnsi="Helvetica Neue" w:eastAsia="Arial Unicode MS" w:cs="Arial Unicode MS"/>
      <w:color w:val="000000"/>
      <w:kern w:val="0"/>
      <w:sz w:val="24"/>
      <w:szCs w:val="24"/>
      <w:lang w:val="en-US" w:eastAsia="zh-CN" w:bidi="ar-SA"/>
    </w:rPr>
  </w:style>
  <w:style w:type="paragraph" w:customStyle="1" w:styleId="14">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5">
    <w:name w:val="彩色列表 - 着色 12"/>
    <w:basedOn w:val="1"/>
    <w:qFormat/>
    <w:uiPriority w:val="34"/>
    <w:pPr>
      <w:ind w:firstLine="420" w:firstLineChars="200"/>
    </w:pPr>
    <w:rPr>
      <w:rFonts w:ascii="Times New Roman" w:hAnsi="Times New Roman" w:eastAsia="宋体" w:cs="Times New Roman"/>
      <w:szCs w:val="24"/>
      <w:u w:color="000000"/>
    </w:rPr>
  </w:style>
  <w:style w:type="character" w:customStyle="1" w:styleId="16">
    <w:name w:val="批注框文本 Char"/>
    <w:basedOn w:val="9"/>
    <w:link w:val="3"/>
    <w:semiHidden/>
    <w:qFormat/>
    <w:uiPriority w:val="99"/>
    <w:rPr>
      <w:sz w:val="18"/>
      <w:szCs w:val="18"/>
    </w:rPr>
  </w:style>
  <w:style w:type="character" w:customStyle="1" w:styleId="17">
    <w:name w:val="标题 1 Char"/>
    <w:basedOn w:val="9"/>
    <w:link w:val="2"/>
    <w:qFormat/>
    <w:uiPriority w:val="9"/>
    <w:rPr>
      <w:rFonts w:ascii="黑体" w:hAnsi="黑体" w:eastAsia="黑体"/>
      <w:sz w:val="28"/>
      <w:szCs w:val="2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1254</Words>
  <Characters>1311</Characters>
  <Lines>9</Lines>
  <Paragraphs>2</Paragraphs>
  <TotalTime>323</TotalTime>
  <ScaleCrop>false</ScaleCrop>
  <LinksUpToDate>false</LinksUpToDate>
  <CharactersWithSpaces>1322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2022-09-28T02:03:00Z</dcterms:created>
  <dc:creator>宁雁青</dc:creator>
  <cp:lastModifiedBy>北苑</cp:lastModifiedBy>
  <cp:lastPrinted>2022-06-07T07:27:00Z</cp:lastPrinted>
  <dcterms:modified xsi:type="dcterms:W3CDTF">2022-10-11T02:07:15Z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D2611D2F420A412C888C6F94B9950A42</vt:lpwstr>
  </property>
</Properties>
</file>